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8E" w:rsidRDefault="0035518E" w:rsidP="0035518E">
      <w:pPr>
        <w:spacing w:after="0" w:line="240" w:lineRule="auto"/>
        <w:rPr>
          <w:rFonts w:eastAsia="Times New Roman" w:cstheme="minorHAnsi"/>
          <w:b/>
          <w:bCs/>
          <w:color w:val="000000"/>
          <w:sz w:val="40"/>
          <w:szCs w:val="40"/>
          <w:lang w:eastAsia="ru-RU"/>
        </w:rPr>
      </w:pPr>
      <w:r>
        <w:rPr>
          <w:rFonts w:eastAsia="Times New Roman" w:cstheme="minorHAnsi"/>
          <w:b/>
          <w:bCs/>
          <w:color w:val="000000"/>
          <w:sz w:val="40"/>
          <w:szCs w:val="40"/>
          <w:lang w:eastAsia="ru-RU"/>
        </w:rPr>
        <w:t xml:space="preserve">Профессиональная аналоговая радиостанция </w:t>
      </w:r>
      <w:proofErr w:type="spellStart"/>
      <w:r w:rsidRPr="0035518E">
        <w:rPr>
          <w:rFonts w:eastAsia="Times New Roman" w:cstheme="minorHAnsi"/>
          <w:b/>
          <w:bCs/>
          <w:color w:val="000000"/>
          <w:sz w:val="40"/>
          <w:szCs w:val="40"/>
          <w:lang w:eastAsia="ru-RU"/>
        </w:rPr>
        <w:t>Vertex</w:t>
      </w:r>
      <w:proofErr w:type="spellEnd"/>
      <w:r w:rsidRPr="0035518E">
        <w:rPr>
          <w:rFonts w:eastAsia="Times New Roman" w:cstheme="minorHAnsi"/>
          <w:b/>
          <w:bCs/>
          <w:color w:val="000000"/>
          <w:sz w:val="40"/>
          <w:szCs w:val="40"/>
          <w:lang w:eastAsia="ru-RU"/>
        </w:rPr>
        <w:t xml:space="preserve"> VX-450</w:t>
      </w:r>
    </w:p>
    <w:p w:rsidR="0035518E" w:rsidRDefault="0035518E" w:rsidP="0035518E">
      <w:pPr>
        <w:spacing w:after="0" w:line="240" w:lineRule="auto"/>
        <w:rPr>
          <w:rFonts w:eastAsia="Times New Roman" w:cstheme="minorHAnsi"/>
          <w:b/>
          <w:bCs/>
          <w:color w:val="000000"/>
          <w:sz w:val="40"/>
          <w:szCs w:val="40"/>
          <w:lang w:eastAsia="ru-RU"/>
        </w:rPr>
      </w:pPr>
    </w:p>
    <w:p w:rsidR="0035518E" w:rsidRPr="0035518E" w:rsidRDefault="0035518E" w:rsidP="0035518E">
      <w:pPr>
        <w:spacing w:after="0" w:line="240" w:lineRule="auto"/>
        <w:rPr>
          <w:rFonts w:eastAsia="Times New Roman" w:cstheme="minorHAnsi"/>
          <w:b/>
          <w:bCs/>
          <w:color w:val="000000"/>
          <w:sz w:val="40"/>
          <w:szCs w:val="40"/>
          <w:lang w:eastAsia="ru-RU"/>
        </w:rPr>
      </w:pPr>
      <w:r>
        <w:rPr>
          <w:noProof/>
          <w:lang w:eastAsia="ru-RU"/>
        </w:rPr>
        <w:drawing>
          <wp:inline distT="0" distB="0" distL="0" distR="0" wp14:anchorId="1D5D862C" wp14:editId="11DF0D92">
            <wp:extent cx="2066925" cy="3476625"/>
            <wp:effectExtent l="0" t="0" r="9525" b="9525"/>
            <wp:docPr id="20" name="Рисунок 20" descr="http://www.yaesu.ru/imag/V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yaesu.ru/imag/VX-45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3476625"/>
                    </a:xfrm>
                    <a:prstGeom prst="rect">
                      <a:avLst/>
                    </a:prstGeom>
                    <a:noFill/>
                    <a:ln>
                      <a:noFill/>
                    </a:ln>
                  </pic:spPr>
                </pic:pic>
              </a:graphicData>
            </a:graphic>
          </wp:inline>
        </w:drawing>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Надежная быстрота реагирования без отрыва от производства:</w:t>
      </w:r>
    </w:p>
    <w:p w:rsid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-512 каналов и 32 группы (с LCD) или 32 канала и 2 группы (VX-451) </w:t>
      </w:r>
      <w:r w:rsidRPr="0035518E">
        <w:rPr>
          <w:rFonts w:eastAsia="Times New Roman" w:cstheme="minorHAnsi"/>
          <w:color w:val="000000"/>
          <w:lang w:eastAsia="ru-RU"/>
        </w:rPr>
        <w:br/>
        <w:t>-5 Ватт </w:t>
      </w:r>
      <w:r w:rsidRPr="0035518E">
        <w:rPr>
          <w:rFonts w:eastAsia="Times New Roman" w:cstheme="minorHAnsi"/>
          <w:color w:val="000000"/>
          <w:lang w:eastAsia="ru-RU"/>
        </w:rPr>
        <w:br/>
        <w:t xml:space="preserve">-VHF: 146 — 174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 </w:t>
      </w:r>
      <w:r w:rsidRPr="0035518E">
        <w:rPr>
          <w:rFonts w:eastAsia="Times New Roman" w:cstheme="minorHAnsi"/>
          <w:color w:val="000000"/>
          <w:lang w:eastAsia="ru-RU"/>
        </w:rPr>
        <w:br/>
        <w:t xml:space="preserve">-UHF: 400 — 470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 xml:space="preserve">, 450 — 512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 </w:t>
      </w:r>
      <w:r w:rsidRPr="0035518E">
        <w:rPr>
          <w:rFonts w:eastAsia="Times New Roman" w:cstheme="minorHAnsi"/>
          <w:color w:val="000000"/>
          <w:lang w:eastAsia="ru-RU"/>
        </w:rPr>
        <w:br/>
        <w:t>-9 программируемых ключей (VX-459) </w:t>
      </w:r>
      <w:r w:rsidRPr="0035518E">
        <w:rPr>
          <w:rFonts w:eastAsia="Times New Roman" w:cstheme="minorHAnsi"/>
          <w:color w:val="000000"/>
          <w:lang w:eastAsia="ru-RU"/>
        </w:rPr>
        <w:br/>
        <w:t>-7 программируемых ключей (VX-454) </w:t>
      </w:r>
      <w:r w:rsidRPr="0035518E">
        <w:rPr>
          <w:rFonts w:eastAsia="Times New Roman" w:cstheme="minorHAnsi"/>
          <w:color w:val="000000"/>
          <w:lang w:eastAsia="ru-RU"/>
        </w:rPr>
        <w:br/>
        <w:t>-3 программируемых ключей (VX-451) </w:t>
      </w:r>
      <w:r w:rsidRPr="0035518E">
        <w:rPr>
          <w:rFonts w:eastAsia="Times New Roman" w:cstheme="minorHAnsi"/>
          <w:color w:val="000000"/>
          <w:lang w:eastAsia="ru-RU"/>
        </w:rPr>
        <w:br/>
        <w:t>-буквенно-цифровой дисплей с 8 символами (VX-459, VX-454) </w:t>
      </w:r>
      <w:r w:rsidRPr="0035518E">
        <w:rPr>
          <w:rFonts w:eastAsia="Times New Roman" w:cstheme="minorHAnsi"/>
          <w:color w:val="000000"/>
          <w:lang w:eastAsia="ru-RU"/>
        </w:rPr>
        <w:br/>
        <w:t>-аудио выход на 700 мВт </w:t>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Мониторинг безопасной работы</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t>Как и во всех радиостанциях Вертекс Стандарт, в станции серии VX-450 имеется встроенная «тревожная кнопка» и функция «Одинокого работника». Уведомления о ЧС инициируется пользователем нажатием кнопки, которая переключается на заданный канал и посылает сигнал о помощи. Функция «одинокого работника» это встроенный таймер, который требует от пользователя проведения определённых манипуляций в заранее установленные интервалы времени. Если этого не делать, то радиостанция автоматически начнёт посылать сигналы тревоги. Когда требуется постоянно быть на связи, в радиостанции Вертекс Стандарт имеется система ARTS</w:t>
      </w:r>
      <w:proofErr w:type="gramStart"/>
      <w:r w:rsidRPr="0035518E">
        <w:rPr>
          <w:rFonts w:eastAsia="Times New Roman" w:cstheme="minorHAnsi"/>
          <w:color w:val="000000"/>
          <w:lang w:eastAsia="ru-RU"/>
        </w:rPr>
        <w:t>™ ,</w:t>
      </w:r>
      <w:proofErr w:type="gramEnd"/>
      <w:r w:rsidRPr="0035518E">
        <w:rPr>
          <w:rFonts w:eastAsia="Times New Roman" w:cstheme="minorHAnsi"/>
          <w:color w:val="000000"/>
          <w:lang w:eastAsia="ru-RU"/>
        </w:rPr>
        <w:t xml:space="preserve"> которая информирует пользователя о том, что в рабочем диапазоне появились другие станции с такой же системой. Опциональная функция </w:t>
      </w:r>
      <w:proofErr w:type="spellStart"/>
      <w:r w:rsidRPr="0035518E">
        <w:rPr>
          <w:rFonts w:eastAsia="Times New Roman" w:cstheme="minorHAnsi"/>
          <w:color w:val="000000"/>
          <w:lang w:eastAsia="ru-RU"/>
        </w:rPr>
        <w:t>Man</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Down</w:t>
      </w:r>
      <w:proofErr w:type="spellEnd"/>
      <w:r w:rsidRPr="0035518E">
        <w:rPr>
          <w:rFonts w:eastAsia="Times New Roman" w:cstheme="minorHAnsi"/>
          <w:color w:val="000000"/>
          <w:lang w:eastAsia="ru-RU"/>
        </w:rPr>
        <w:t xml:space="preserve"> (с DVS-9 </w:t>
      </w:r>
      <w:proofErr w:type="spellStart"/>
      <w:r w:rsidRPr="0035518E">
        <w:rPr>
          <w:rFonts w:eastAsia="Times New Roman" w:cstheme="minorHAnsi"/>
          <w:color w:val="000000"/>
          <w:lang w:eastAsia="ru-RU"/>
        </w:rPr>
        <w:t>unit</w:t>
      </w:r>
      <w:proofErr w:type="spellEnd"/>
      <w:r w:rsidRPr="0035518E">
        <w:rPr>
          <w:rFonts w:eastAsia="Times New Roman" w:cstheme="minorHAnsi"/>
          <w:color w:val="000000"/>
          <w:lang w:eastAsia="ru-RU"/>
        </w:rPr>
        <w:t xml:space="preserve">) дает возможность следить за перемещением радиостанций по горизонтальным и </w:t>
      </w:r>
      <w:proofErr w:type="spellStart"/>
      <w:r w:rsidRPr="0035518E">
        <w:rPr>
          <w:rFonts w:eastAsia="Times New Roman" w:cstheme="minorHAnsi"/>
          <w:color w:val="000000"/>
          <w:lang w:eastAsia="ru-RU"/>
        </w:rPr>
        <w:t>вертикльным</w:t>
      </w:r>
      <w:proofErr w:type="spellEnd"/>
      <w:r w:rsidRPr="0035518E">
        <w:rPr>
          <w:rFonts w:eastAsia="Times New Roman" w:cstheme="minorHAnsi"/>
          <w:color w:val="000000"/>
          <w:lang w:eastAsia="ru-RU"/>
        </w:rPr>
        <w:t xml:space="preserve"> направлениям.</w:t>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proofErr w:type="spellStart"/>
      <w:r w:rsidRPr="0035518E">
        <w:rPr>
          <w:rFonts w:eastAsia="Times New Roman" w:cstheme="minorHAnsi"/>
          <w:b/>
          <w:bCs/>
          <w:color w:val="000000"/>
          <w:lang w:eastAsia="ru-RU"/>
        </w:rPr>
        <w:t>Аудиооповещения</w:t>
      </w:r>
      <w:proofErr w:type="spellEnd"/>
      <w:r w:rsidRPr="0035518E">
        <w:rPr>
          <w:rFonts w:eastAsia="Times New Roman" w:cstheme="minorHAnsi"/>
          <w:b/>
          <w:bCs/>
          <w:color w:val="000000"/>
          <w:lang w:eastAsia="ru-RU"/>
        </w:rPr>
        <w:t xml:space="preserve"> и другие функции голосового управления.</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lastRenderedPageBreak/>
        <w:t xml:space="preserve">Радиостанция включает функцию Оповещение канала, при работе которой громко объявляется номер канала, для упрощения работы при одновременном выполнении других задач. Включает голосовую активацию (VOX), которая дает пользователям возможность передавать голосовые сообщения, не нажимая на кнопку </w:t>
      </w:r>
      <w:proofErr w:type="spellStart"/>
      <w:r w:rsidRPr="0035518E">
        <w:rPr>
          <w:rFonts w:eastAsia="Times New Roman" w:cstheme="minorHAnsi"/>
          <w:color w:val="000000"/>
          <w:lang w:eastAsia="ru-RU"/>
        </w:rPr>
        <w:t>Push</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to</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Talk</w:t>
      </w:r>
      <w:proofErr w:type="spellEnd"/>
      <w:r w:rsidRPr="0035518E">
        <w:rPr>
          <w:rFonts w:eastAsia="Times New Roman" w:cstheme="minorHAnsi"/>
          <w:color w:val="000000"/>
          <w:lang w:eastAsia="ru-RU"/>
        </w:rPr>
        <w:t xml:space="preserve"> на микрофоне. Удобная работа с </w:t>
      </w:r>
      <w:proofErr w:type="spellStart"/>
      <w:r w:rsidRPr="0035518E">
        <w:rPr>
          <w:rFonts w:eastAsia="Times New Roman" w:cstheme="minorHAnsi"/>
          <w:color w:val="000000"/>
          <w:lang w:eastAsia="ru-RU"/>
        </w:rPr>
        <w:t>Hands-free</w:t>
      </w:r>
      <w:proofErr w:type="spellEnd"/>
      <w:r w:rsidRPr="0035518E">
        <w:rPr>
          <w:rFonts w:eastAsia="Times New Roman" w:cstheme="minorHAnsi"/>
          <w:color w:val="000000"/>
          <w:lang w:eastAsia="ru-RU"/>
        </w:rPr>
        <w:t xml:space="preserve">. В шумной окружающей среде активируйте функцию </w:t>
      </w:r>
      <w:proofErr w:type="spellStart"/>
      <w:r w:rsidRPr="0035518E">
        <w:rPr>
          <w:rFonts w:eastAsia="Times New Roman" w:cstheme="minorHAnsi"/>
          <w:color w:val="000000"/>
          <w:lang w:eastAsia="ru-RU"/>
        </w:rPr>
        <w:t>Clear</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Voice</w:t>
      </w:r>
      <w:proofErr w:type="spellEnd"/>
      <w:r w:rsidRPr="0035518E">
        <w:rPr>
          <w:rFonts w:eastAsia="Times New Roman" w:cstheme="minorHAnsi"/>
          <w:color w:val="000000"/>
          <w:lang w:eastAsia="ru-RU"/>
        </w:rPr>
        <w:t xml:space="preserve"> для улучшения аудио передачи и обеспечения того, что ваше сообщение будет услышано. Во избежание случайного уменьшения звука, минимальный уровень громкости может быть запрограммирован вашим дилером. Возможность обеспечения радиотелефонной связи шепотом также включена в функции радиостанции для улучшения радиопередачи, когда необходима спокойная беседа. Запись и хранение до 120 секунд важных сообщений при использовании записывающего устройства DVS-8.</w:t>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Надежная форма для экстремальных условий</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t>Станции серии VX-450 приспособлены к тяжёлым эксплуатационным условиям, соответствуя требованиям стандарта IP57, выдерживает погружение в воду на 3 фута (более 90 сантиметров) до 30 минут без ущерба работоспособности.</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br/>
      </w:r>
      <w:r w:rsidRPr="0035518E">
        <w:rPr>
          <w:rFonts w:eastAsia="Times New Roman" w:cstheme="minorHAnsi"/>
          <w:b/>
          <w:bCs/>
          <w:color w:val="000000"/>
          <w:lang w:eastAsia="ru-RU"/>
        </w:rPr>
        <w:t>Акустические характеристики и функции</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t>Выходная мощность динамика 700 мВт, идеально для работы в шумной обстановке. Радиостанция позволяет громкое объявление канала, что облегчает процедуру их смены, когда вы заняты другими работами. Опция активации голосом (VOX</w:t>
      </w:r>
      <w:proofErr w:type="gramStart"/>
      <w:r w:rsidRPr="0035518E">
        <w:rPr>
          <w:rFonts w:eastAsia="Times New Roman" w:cstheme="minorHAnsi"/>
          <w:color w:val="000000"/>
          <w:lang w:eastAsia="ru-RU"/>
        </w:rPr>
        <w:t>) ,</w:t>
      </w:r>
      <w:proofErr w:type="gramEnd"/>
      <w:r w:rsidRPr="0035518E">
        <w:rPr>
          <w:rFonts w:eastAsia="Times New Roman" w:cstheme="minorHAnsi"/>
          <w:color w:val="000000"/>
          <w:lang w:eastAsia="ru-RU"/>
        </w:rPr>
        <w:t xml:space="preserve"> используется с наушниками MH-81A4B, давая возможность пользователям передавать сообщения, не нажимая кнопку PTT, что удобно для использования гарнитур. Возможность записи и хранения голосовых сообщений (длительностью до 120 секунд), используя факультативный (встраиваемый по желанию) DVS-8 </w:t>
      </w:r>
      <w:proofErr w:type="spellStart"/>
      <w:r w:rsidRPr="0035518E">
        <w:rPr>
          <w:rFonts w:eastAsia="Times New Roman" w:cstheme="minorHAnsi"/>
          <w:color w:val="000000"/>
          <w:lang w:eastAsia="ru-RU"/>
        </w:rPr>
        <w:t>Voice</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Storage</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unit</w:t>
      </w:r>
      <w:proofErr w:type="spellEnd"/>
      <w:r w:rsidRPr="0035518E">
        <w:rPr>
          <w:rFonts w:eastAsia="Times New Roman" w:cstheme="minorHAnsi"/>
          <w:color w:val="000000"/>
          <w:lang w:eastAsia="ru-RU"/>
        </w:rPr>
        <w:t xml:space="preserve">. Опциональные режимы тональной сигнализации включают в себя MDC-1200® </w:t>
      </w:r>
      <w:proofErr w:type="spellStart"/>
      <w:r w:rsidRPr="0035518E">
        <w:rPr>
          <w:rFonts w:eastAsia="Times New Roman" w:cstheme="minorHAnsi"/>
          <w:color w:val="000000"/>
          <w:lang w:eastAsia="ru-RU"/>
        </w:rPr>
        <w:t>encode</w:t>
      </w:r>
      <w:proofErr w:type="spellEnd"/>
      <w:r w:rsidRPr="0035518E">
        <w:rPr>
          <w:rFonts w:eastAsia="Times New Roman" w:cstheme="minorHAnsi"/>
          <w:color w:val="000000"/>
          <w:lang w:eastAsia="ru-RU"/>
        </w:rPr>
        <w:t>/</w:t>
      </w:r>
      <w:proofErr w:type="spellStart"/>
      <w:r w:rsidRPr="0035518E">
        <w:rPr>
          <w:rFonts w:eastAsia="Times New Roman" w:cstheme="minorHAnsi"/>
          <w:color w:val="000000"/>
          <w:lang w:eastAsia="ru-RU"/>
        </w:rPr>
        <w:t>decode</w:t>
      </w:r>
      <w:proofErr w:type="spellEnd"/>
      <w:r w:rsidRPr="0035518E">
        <w:rPr>
          <w:rFonts w:eastAsia="Times New Roman" w:cstheme="minorHAnsi"/>
          <w:color w:val="000000"/>
          <w:lang w:eastAsia="ru-RU"/>
        </w:rPr>
        <w:t xml:space="preserve"> и вместе с 2-х и 5-ти тональным кодером/ декодером, обеспечивают избирательный вызов большого количества абонентов. Модели радиостанций VX-459 и VX-454 имеют объем памяти 512 </w:t>
      </w:r>
      <w:proofErr w:type="gramStart"/>
      <w:r w:rsidRPr="0035518E">
        <w:rPr>
          <w:rFonts w:eastAsia="Times New Roman" w:cstheme="minorHAnsi"/>
          <w:color w:val="000000"/>
          <w:lang w:eastAsia="ru-RU"/>
        </w:rPr>
        <w:t>каналов</w:t>
      </w:r>
      <w:proofErr w:type="gramEnd"/>
      <w:r w:rsidRPr="0035518E">
        <w:rPr>
          <w:rFonts w:eastAsia="Times New Roman" w:cstheme="minorHAnsi"/>
          <w:color w:val="000000"/>
          <w:lang w:eastAsia="ru-RU"/>
        </w:rPr>
        <w:t xml:space="preserve"> разбитых на 32 группы, что позволяет управлять множеством вызовов в условиях большого количества абонентов. Модель VX-459 имеет возможность прямого перехода на нужный канал нажатием на клавишу функции навигации.</w:t>
      </w:r>
    </w:p>
    <w:p w:rsidR="0035518E" w:rsidRPr="0035518E" w:rsidRDefault="0035518E" w:rsidP="0035518E">
      <w:pPr>
        <w:spacing w:after="0" w:line="240" w:lineRule="auto"/>
        <w:rPr>
          <w:rFonts w:eastAsia="Times New Roman" w:cstheme="minorHAnsi"/>
          <w:lang w:eastAsia="ru-RU"/>
        </w:rPr>
      </w:pP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Дополнительные возможности:</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t>-Преобразование речи для маскирования переговоров </w:t>
      </w:r>
      <w:r w:rsidRPr="0035518E">
        <w:rPr>
          <w:rFonts w:eastAsia="Times New Roman" w:cstheme="minorHAnsi"/>
          <w:color w:val="000000"/>
          <w:lang w:eastAsia="ru-RU"/>
        </w:rPr>
        <w:br/>
        <w:t>-экономный режим сохранения батареи </w:t>
      </w:r>
      <w:r w:rsidRPr="0035518E">
        <w:rPr>
          <w:rFonts w:eastAsia="Times New Roman" w:cstheme="minorHAnsi"/>
          <w:color w:val="000000"/>
          <w:lang w:eastAsia="ru-RU"/>
        </w:rPr>
        <w:br/>
        <w:t>-Функция ANI DTMF </w:t>
      </w:r>
      <w:r w:rsidRPr="0035518E">
        <w:rPr>
          <w:rFonts w:eastAsia="Times New Roman" w:cstheme="minorHAnsi"/>
          <w:color w:val="000000"/>
          <w:lang w:eastAsia="ru-RU"/>
        </w:rPr>
        <w:br/>
        <w:t>-Быстрый набор DTMF </w:t>
      </w:r>
      <w:r w:rsidRPr="0035518E">
        <w:rPr>
          <w:rFonts w:eastAsia="Times New Roman" w:cstheme="minorHAnsi"/>
          <w:color w:val="000000"/>
          <w:lang w:eastAsia="ru-RU"/>
        </w:rPr>
        <w:br/>
        <w:t>-Листание страниц DTMF </w:t>
      </w:r>
      <w:r w:rsidRPr="0035518E">
        <w:rPr>
          <w:rFonts w:eastAsia="Times New Roman" w:cstheme="minorHAnsi"/>
          <w:color w:val="000000"/>
          <w:lang w:eastAsia="ru-RU"/>
        </w:rPr>
        <w:br/>
        <w:t>-Кодер/декодер CTCSS/DCS </w:t>
      </w:r>
      <w:r w:rsidRPr="0035518E">
        <w:rPr>
          <w:rFonts w:eastAsia="Times New Roman" w:cstheme="minorHAnsi"/>
          <w:color w:val="000000"/>
          <w:lang w:eastAsia="ru-RU"/>
        </w:rPr>
        <w:br/>
        <w:t>-Функция дистанционного выключения станции </w:t>
      </w:r>
      <w:r w:rsidRPr="0035518E">
        <w:rPr>
          <w:rFonts w:eastAsia="Times New Roman" w:cstheme="minorHAnsi"/>
          <w:color w:val="000000"/>
          <w:lang w:eastAsia="ru-RU"/>
        </w:rPr>
        <w:br/>
        <w:t>-Компрессор речевого сигнала расширяющий динамический диапазон </w:t>
      </w:r>
      <w:r w:rsidRPr="0035518E">
        <w:rPr>
          <w:rFonts w:eastAsia="Times New Roman" w:cstheme="minorHAnsi"/>
          <w:color w:val="000000"/>
          <w:lang w:eastAsia="ru-RU"/>
        </w:rPr>
        <w:br/>
        <w:t>-Ручная регулировка бесшумной настройки </w:t>
      </w:r>
      <w:r w:rsidRPr="0035518E">
        <w:rPr>
          <w:rFonts w:eastAsia="Times New Roman" w:cstheme="minorHAnsi"/>
          <w:color w:val="000000"/>
          <w:lang w:eastAsia="ru-RU"/>
        </w:rPr>
        <w:br/>
        <w:t>-Контроль минимальной громкости </w:t>
      </w:r>
      <w:r w:rsidRPr="0035518E">
        <w:rPr>
          <w:rFonts w:eastAsia="Times New Roman" w:cstheme="minorHAnsi"/>
          <w:color w:val="000000"/>
          <w:lang w:eastAsia="ru-RU"/>
        </w:rPr>
        <w:br/>
        <w:t>-Функции BCLO, BTLO и TOT </w:t>
      </w:r>
      <w:r w:rsidRPr="0035518E">
        <w:rPr>
          <w:rFonts w:eastAsia="Times New Roman" w:cstheme="minorHAnsi"/>
          <w:color w:val="000000"/>
          <w:lang w:eastAsia="ru-RU"/>
        </w:rPr>
        <w:br/>
        <w:t>-Программируемый цвет кнопки сигнала тревоги LED </w:t>
      </w:r>
      <w:r w:rsidRPr="0035518E">
        <w:rPr>
          <w:rFonts w:eastAsia="Times New Roman" w:cstheme="minorHAnsi"/>
          <w:color w:val="000000"/>
          <w:lang w:eastAsia="ru-RU"/>
        </w:rPr>
        <w:br/>
        <w:t>-Сканирование каналов с различными алгоритмами поиска </w:t>
      </w:r>
      <w:r w:rsidRPr="0035518E">
        <w:rPr>
          <w:rFonts w:eastAsia="Times New Roman" w:cstheme="minorHAnsi"/>
          <w:color w:val="000000"/>
          <w:lang w:eastAsia="ru-RU"/>
        </w:rPr>
        <w:br/>
        <w:t>-Дистанционное клонирование функций </w:t>
      </w:r>
      <w:r w:rsidRPr="0035518E">
        <w:rPr>
          <w:rFonts w:eastAsia="Times New Roman" w:cstheme="minorHAnsi"/>
          <w:color w:val="000000"/>
          <w:lang w:eastAsia="ru-RU"/>
        </w:rPr>
        <w:br/>
      </w:r>
      <w:r w:rsidRPr="0035518E">
        <w:rPr>
          <w:rFonts w:eastAsia="Times New Roman" w:cstheme="minorHAnsi"/>
          <w:b/>
          <w:bCs/>
          <w:color w:val="000000"/>
          <w:lang w:eastAsia="ru-RU"/>
        </w:rPr>
        <w:t>Опции</w:t>
      </w:r>
    </w:p>
    <w:p w:rsidR="0035518E" w:rsidRPr="0035518E" w:rsidRDefault="0035518E" w:rsidP="0035518E">
      <w:pPr>
        <w:spacing w:after="0" w:line="240" w:lineRule="auto"/>
        <w:rPr>
          <w:rFonts w:eastAsia="Times New Roman" w:cstheme="minorHAnsi"/>
          <w:lang w:eastAsia="ru-RU"/>
        </w:rPr>
      </w:pPr>
      <w:r w:rsidRPr="0035518E">
        <w:rPr>
          <w:rFonts w:eastAsia="Times New Roman" w:cstheme="minorHAnsi"/>
          <w:color w:val="000000"/>
          <w:lang w:eastAsia="ru-RU"/>
        </w:rPr>
        <w:t>DVS-8: Плата цифрового магнитофона </w:t>
      </w:r>
      <w:r w:rsidRPr="0035518E">
        <w:rPr>
          <w:rFonts w:eastAsia="Times New Roman" w:cstheme="minorHAnsi"/>
          <w:color w:val="000000"/>
          <w:lang w:eastAsia="ru-RU"/>
        </w:rPr>
        <w:br/>
        <w:t xml:space="preserve">DVS-9: Плата </w:t>
      </w:r>
      <w:proofErr w:type="spellStart"/>
      <w:r w:rsidRPr="0035518E">
        <w:rPr>
          <w:rFonts w:eastAsia="Times New Roman" w:cstheme="minorHAnsi"/>
          <w:color w:val="000000"/>
          <w:lang w:eastAsia="ru-RU"/>
        </w:rPr>
        <w:t>Man</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down</w:t>
      </w:r>
      <w:proofErr w:type="spellEnd"/>
      <w:r w:rsidRPr="0035518E">
        <w:rPr>
          <w:rFonts w:eastAsia="Times New Roman" w:cstheme="minorHAnsi"/>
          <w:color w:val="000000"/>
          <w:lang w:eastAsia="ru-RU"/>
        </w:rPr>
        <w:t xml:space="preserve"> </w:t>
      </w:r>
      <w:proofErr w:type="spellStart"/>
      <w:r w:rsidRPr="0035518E">
        <w:rPr>
          <w:rFonts w:eastAsia="Times New Roman" w:cstheme="minorHAnsi"/>
          <w:color w:val="000000"/>
          <w:lang w:eastAsia="ru-RU"/>
        </w:rPr>
        <w:t>alertс</w:t>
      </w:r>
      <w:proofErr w:type="spellEnd"/>
      <w:r w:rsidRPr="0035518E">
        <w:rPr>
          <w:rFonts w:eastAsia="Times New Roman" w:cstheme="minorHAnsi"/>
          <w:color w:val="000000"/>
          <w:lang w:eastAsia="ru-RU"/>
        </w:rPr>
        <w:t xml:space="preserve"> для определения ориентации станции</w:t>
      </w:r>
    </w:p>
    <w:p w:rsidR="0035518E" w:rsidRPr="0035518E" w:rsidRDefault="0035518E" w:rsidP="0035518E">
      <w:pPr>
        <w:spacing w:after="0" w:line="240" w:lineRule="auto"/>
        <w:rPr>
          <w:rFonts w:eastAsia="Times New Roman" w:cstheme="minorHAnsi"/>
          <w:lang w:eastAsia="ru-RU"/>
        </w:rPr>
      </w:pPr>
    </w:p>
    <w:p w:rsidR="0035518E" w:rsidRPr="0035518E" w:rsidRDefault="0035518E" w:rsidP="0035518E">
      <w:pPr>
        <w:shd w:val="clear" w:color="auto" w:fill="CFD3D4"/>
        <w:spacing w:before="100" w:beforeAutospacing="1" w:after="100" w:afterAutospacing="1" w:line="375" w:lineRule="atLeast"/>
        <w:ind w:firstLine="75"/>
        <w:textAlignment w:val="center"/>
        <w:outlineLvl w:val="1"/>
        <w:rPr>
          <w:rFonts w:eastAsia="Times New Roman" w:cstheme="minorHAnsi"/>
          <w:b/>
          <w:bCs/>
          <w:lang w:eastAsia="ru-RU"/>
        </w:rPr>
      </w:pPr>
      <w:r w:rsidRPr="0035518E">
        <w:rPr>
          <w:rFonts w:eastAsia="Times New Roman" w:cstheme="minorHAnsi"/>
          <w:b/>
          <w:bCs/>
          <w:lang w:eastAsia="ru-RU"/>
        </w:rPr>
        <w:lastRenderedPageBreak/>
        <w:t xml:space="preserve">Технические характеристики радиостанций </w:t>
      </w:r>
      <w:proofErr w:type="spellStart"/>
      <w:r w:rsidRPr="0035518E">
        <w:rPr>
          <w:rFonts w:eastAsia="Times New Roman" w:cstheme="minorHAnsi"/>
          <w:b/>
          <w:bCs/>
          <w:lang w:eastAsia="ru-RU"/>
        </w:rPr>
        <w:t>Vertex</w:t>
      </w:r>
      <w:proofErr w:type="spellEnd"/>
      <w:r w:rsidRPr="0035518E">
        <w:rPr>
          <w:rFonts w:eastAsia="Times New Roman" w:cstheme="minorHAnsi"/>
          <w:b/>
          <w:bCs/>
          <w:lang w:eastAsia="ru-RU"/>
        </w:rPr>
        <w:t xml:space="preserve"> </w:t>
      </w:r>
      <w:proofErr w:type="spellStart"/>
      <w:r w:rsidRPr="0035518E">
        <w:rPr>
          <w:rFonts w:eastAsia="Times New Roman" w:cstheme="minorHAnsi"/>
          <w:b/>
          <w:bCs/>
          <w:lang w:eastAsia="ru-RU"/>
        </w:rPr>
        <w:t>Standard</w:t>
      </w:r>
      <w:proofErr w:type="spellEnd"/>
      <w:r w:rsidRPr="0035518E">
        <w:rPr>
          <w:rFonts w:eastAsia="Times New Roman" w:cstheme="minorHAnsi"/>
          <w:b/>
          <w:bCs/>
          <w:lang w:eastAsia="ru-RU"/>
        </w:rPr>
        <w:t xml:space="preserve"> VX-450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2"/>
        <w:gridCol w:w="4407"/>
      </w:tblGrid>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proofErr w:type="spellStart"/>
            <w:r w:rsidRPr="0035518E">
              <w:rPr>
                <w:rFonts w:eastAsia="Times New Roman" w:cstheme="minorHAnsi"/>
                <w:color w:val="000000"/>
                <w:lang w:eastAsia="ru-RU"/>
              </w:rPr>
              <w:t>Дипазон</w:t>
            </w:r>
            <w:proofErr w:type="spellEnd"/>
            <w:r w:rsidRPr="0035518E">
              <w:rPr>
                <w:rFonts w:eastAsia="Times New Roman" w:cstheme="minorHAnsi"/>
                <w:color w:val="000000"/>
                <w:lang w:eastAsia="ru-RU"/>
              </w:rPr>
              <w:t xml:space="preserve"> частот</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146–174 МГц 400–470 МГц 450– 512 МГц</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Количество каналов</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512 каналов и 32 группы (VX-459/VX-454)</w:t>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32 канала и 2 группы (VX-451)</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Частотный разнос</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12,5/20/25 кГц</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Шаг частот</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1,25/2,5/5/6,25 кГц</w:t>
            </w:r>
          </w:p>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 / 6,25 кГц</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Класс по IP</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IP57</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Диапазон температур</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от – 30°C до +60°C</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Стабильность частоты</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 xml:space="preserve">±2,5 </w:t>
            </w:r>
            <w:proofErr w:type="spellStart"/>
            <w:r w:rsidRPr="0035518E">
              <w:rPr>
                <w:rFonts w:eastAsia="Times New Roman" w:cstheme="minorHAnsi"/>
                <w:color w:val="000000"/>
                <w:lang w:eastAsia="ru-RU"/>
              </w:rPr>
              <w:t>ppm</w:t>
            </w:r>
            <w:proofErr w:type="spellEnd"/>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Импеданс антенного входа-выхода</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50 Ом</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Габаритные размеры</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 xml:space="preserve">109 x 58,5 x 34 </w:t>
            </w:r>
            <w:proofErr w:type="gramStart"/>
            <w:r w:rsidRPr="0035518E">
              <w:rPr>
                <w:rFonts w:eastAsia="Times New Roman" w:cstheme="minorHAnsi"/>
                <w:color w:val="000000"/>
                <w:lang w:eastAsia="ru-RU"/>
              </w:rPr>
              <w:t>мм(</w:t>
            </w:r>
            <w:proofErr w:type="gramEnd"/>
            <w:r w:rsidRPr="0035518E">
              <w:rPr>
                <w:rFonts w:eastAsia="Times New Roman" w:cstheme="minorHAnsi"/>
                <w:color w:val="000000"/>
                <w:lang w:eastAsia="ru-RU"/>
              </w:rPr>
              <w:t>с батареей FNB-112LI)</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Вес</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296 г (с батареей FNB-112LI, антенной и поясным зажимом)</w:t>
            </w:r>
          </w:p>
        </w:tc>
      </w:tr>
      <w:tr w:rsidR="0035518E" w:rsidRPr="0035518E" w:rsidTr="0035518E">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Приёмник</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Чувствительность 20дБ SINAD</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0,25/0,32 мкВ</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Избирательность по соседнему каналу</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75/65 дБ</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Перекрестная модуляция</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45/40 дБ</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Подавление паразитных сигналов и помех по зеркальному каналу</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75/65 дБ</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Звуковой выход</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700 мВт/4 Ом</w:t>
            </w:r>
          </w:p>
        </w:tc>
      </w:tr>
      <w:tr w:rsidR="0035518E" w:rsidRPr="0035518E" w:rsidTr="0035518E">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b/>
                <w:bCs/>
                <w:color w:val="000000"/>
                <w:lang w:eastAsia="ru-RU"/>
              </w:rPr>
              <w:t>Передатчик</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Выходная мощность</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5/2,5/1/0,25 Вт</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Ограничение уровня модуляции</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±5,0 кГц при 25 кГц± 2,5 кГц при 12,5 кГц</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Модуляция</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16K0F3E, 14K0F3E</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Паразитное излучение</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 xml:space="preserve">42 </w:t>
            </w:r>
            <w:proofErr w:type="spellStart"/>
            <w:r w:rsidRPr="0035518E">
              <w:rPr>
                <w:rFonts w:eastAsia="Times New Roman" w:cstheme="minorHAnsi"/>
                <w:color w:val="000000"/>
                <w:lang w:eastAsia="ru-RU"/>
              </w:rPr>
              <w:t>дБМ</w:t>
            </w:r>
            <w:proofErr w:type="spellEnd"/>
            <w:r w:rsidRPr="0035518E">
              <w:rPr>
                <w:rFonts w:eastAsia="Times New Roman" w:cstheme="minorHAnsi"/>
                <w:color w:val="000000"/>
                <w:lang w:eastAsia="ru-RU"/>
              </w:rPr>
              <w:t xml:space="preserve"> при ≤ 1 ГГц40 </w:t>
            </w:r>
            <w:proofErr w:type="spellStart"/>
            <w:r w:rsidRPr="0035518E">
              <w:rPr>
                <w:rFonts w:eastAsia="Times New Roman" w:cstheme="minorHAnsi"/>
                <w:color w:val="000000"/>
                <w:lang w:eastAsia="ru-RU"/>
              </w:rPr>
              <w:t>дБМ</w:t>
            </w:r>
            <w:proofErr w:type="spellEnd"/>
            <w:r w:rsidRPr="0035518E">
              <w:rPr>
                <w:rFonts w:eastAsia="Times New Roman" w:cstheme="minorHAnsi"/>
                <w:color w:val="000000"/>
                <w:lang w:eastAsia="ru-RU"/>
              </w:rPr>
              <w:t xml:space="preserve"> </w:t>
            </w:r>
            <w:proofErr w:type="gramStart"/>
            <w:r w:rsidRPr="0035518E">
              <w:rPr>
                <w:rFonts w:eastAsia="Times New Roman" w:cstheme="minorHAnsi"/>
                <w:color w:val="000000"/>
                <w:lang w:eastAsia="ru-RU"/>
              </w:rPr>
              <w:t>при &gt;</w:t>
            </w:r>
            <w:proofErr w:type="gramEnd"/>
            <w:r w:rsidRPr="0035518E">
              <w:rPr>
                <w:rFonts w:eastAsia="Times New Roman" w:cstheme="minorHAnsi"/>
                <w:color w:val="000000"/>
                <w:lang w:eastAsia="ru-RU"/>
              </w:rPr>
              <w:t xml:space="preserve"> 1 ГГц</w:t>
            </w:r>
          </w:p>
        </w:tc>
      </w:tr>
      <w:tr w:rsidR="0035518E" w:rsidRPr="0035518E" w:rsidTr="003551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r w:rsidRPr="0035518E">
              <w:rPr>
                <w:rFonts w:eastAsia="Times New Roman" w:cstheme="minorHAnsi"/>
                <w:color w:val="000000"/>
                <w:lang w:eastAsia="ru-RU"/>
              </w:rPr>
              <w:t>Искажение звука</w:t>
            </w:r>
          </w:p>
        </w:tc>
        <w:tc>
          <w:tcPr>
            <w:tcW w:w="0" w:type="auto"/>
            <w:tcBorders>
              <w:top w:val="outset" w:sz="6" w:space="0" w:color="auto"/>
              <w:left w:val="outset" w:sz="6" w:space="0" w:color="auto"/>
              <w:bottom w:val="outset" w:sz="6" w:space="0" w:color="auto"/>
              <w:right w:val="outset" w:sz="6" w:space="0" w:color="auto"/>
            </w:tcBorders>
            <w:hideMark/>
          </w:tcPr>
          <w:p w:rsidR="0035518E" w:rsidRPr="0035518E" w:rsidRDefault="0035518E" w:rsidP="0035518E">
            <w:pPr>
              <w:spacing w:before="100" w:beforeAutospacing="1" w:after="100" w:afterAutospacing="1" w:line="240" w:lineRule="auto"/>
              <w:rPr>
                <w:rFonts w:eastAsia="Times New Roman" w:cstheme="minorHAnsi"/>
                <w:color w:val="000000"/>
                <w:lang w:eastAsia="ru-RU"/>
              </w:rPr>
            </w:pPr>
            <w:proofErr w:type="gramStart"/>
            <w:r w:rsidRPr="0035518E">
              <w:rPr>
                <w:rFonts w:eastAsia="Times New Roman" w:cstheme="minorHAnsi"/>
                <w:color w:val="000000"/>
                <w:lang w:eastAsia="ru-RU"/>
              </w:rPr>
              <w:t>&lt; 3</w:t>
            </w:r>
            <w:proofErr w:type="gramEnd"/>
            <w:r w:rsidRPr="0035518E">
              <w:rPr>
                <w:rFonts w:eastAsia="Times New Roman" w:cstheme="minorHAnsi"/>
                <w:color w:val="000000"/>
                <w:lang w:eastAsia="ru-RU"/>
              </w:rPr>
              <w:t xml:space="preserve"> % при 1 кГц</w:t>
            </w:r>
          </w:p>
        </w:tc>
      </w:tr>
    </w:tbl>
    <w:p w:rsidR="0035518E" w:rsidRPr="0035518E" w:rsidRDefault="0035518E" w:rsidP="0035518E">
      <w:pPr>
        <w:spacing w:before="100" w:beforeAutospacing="1" w:after="100" w:afterAutospacing="1" w:line="240" w:lineRule="auto"/>
        <w:outlineLvl w:val="3"/>
        <w:rPr>
          <w:rFonts w:eastAsia="Times New Roman" w:cstheme="minorHAnsi"/>
          <w:b/>
          <w:bCs/>
          <w:color w:val="DE3900"/>
          <w:lang w:eastAsia="ru-RU"/>
        </w:rPr>
      </w:pPr>
      <w:r w:rsidRPr="0035518E">
        <w:rPr>
          <w:rFonts w:eastAsia="Times New Roman" w:cstheme="minorHAnsi"/>
          <w:b/>
          <w:bCs/>
          <w:color w:val="DE3900"/>
          <w:lang w:eastAsia="ru-RU"/>
        </w:rPr>
        <w:t>Аксессуары</w:t>
      </w:r>
    </w:p>
    <w:tbl>
      <w:tblPr>
        <w:tblW w:w="11481" w:type="dxa"/>
        <w:tblCellSpacing w:w="15" w:type="dxa"/>
        <w:tblInd w:w="-426" w:type="dxa"/>
        <w:tblCellMar>
          <w:top w:w="150" w:type="dxa"/>
          <w:left w:w="150" w:type="dxa"/>
          <w:bottom w:w="150" w:type="dxa"/>
          <w:right w:w="150" w:type="dxa"/>
        </w:tblCellMar>
        <w:tblLook w:val="04A0" w:firstRow="1" w:lastRow="0" w:firstColumn="1" w:lastColumn="0" w:noHBand="0" w:noVBand="1"/>
      </w:tblPr>
      <w:tblGrid>
        <w:gridCol w:w="417"/>
        <w:gridCol w:w="3184"/>
        <w:gridCol w:w="3497"/>
        <w:gridCol w:w="3988"/>
        <w:gridCol w:w="395"/>
      </w:tblGrid>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3271F3EA" wp14:editId="225B6601">
                  <wp:extent cx="1143000" cy="1143000"/>
                  <wp:effectExtent l="0" t="0" r="0" b="0"/>
                  <wp:docPr id="1" name="Рисунок 1" descr="ATU-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U-16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58A72B54" wp14:editId="40AB86B3">
                  <wp:extent cx="1143000" cy="1143000"/>
                  <wp:effectExtent l="0" t="0" r="0" b="0"/>
                  <wp:docPr id="2" name="Рисунок 2" descr="ATU-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U-16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20360EC2" wp14:editId="1C259A70">
                  <wp:extent cx="1143000" cy="1143000"/>
                  <wp:effectExtent l="0" t="0" r="0" b="0"/>
                  <wp:docPr id="3" name="Рисунок 3" descr="ATU-1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U-16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ATU-16B</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ATU-16D</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ATU-16F</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UHF антенна (400-420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UHF антенна (450-470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p>
        </w:tc>
      </w:tr>
      <w:tr w:rsidR="0035518E" w:rsidRPr="0035518E" w:rsidTr="0035518E">
        <w:trPr>
          <w:gridAfter w:val="1"/>
          <w:wAfter w:w="152" w:type="pct"/>
          <w:tblCellSpacing w:w="15" w:type="dxa"/>
        </w:trPr>
        <w:tc>
          <w:tcPr>
            <w:tcW w:w="1541" w:type="pct"/>
            <w:gridSpan w:val="2"/>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lastRenderedPageBreak/>
              <w:drawing>
                <wp:inline distT="0" distB="0" distL="0" distR="0" wp14:anchorId="54E0E8C4" wp14:editId="47135851">
                  <wp:extent cx="1143000" cy="1143000"/>
                  <wp:effectExtent l="0" t="0" r="0" b="0"/>
                  <wp:docPr id="4" name="Рисунок 4" descr="ATV-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V-16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534E7B32" wp14:editId="09ED392B">
                  <wp:extent cx="1143000" cy="1143000"/>
                  <wp:effectExtent l="0" t="0" r="0" b="0"/>
                  <wp:docPr id="5" name="Рисунок 5" descr="ATV-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V-16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bookmarkStart w:id="0" w:name="_GoBack"/>
            <w:bookmarkEnd w:id="0"/>
            <w:r w:rsidRPr="0035518E">
              <w:rPr>
                <w:rFonts w:eastAsia="Times New Roman" w:cstheme="minorHAnsi"/>
                <w:noProof/>
                <w:color w:val="000000"/>
                <w:lang w:eastAsia="ru-RU"/>
              </w:rPr>
              <w:drawing>
                <wp:inline distT="0" distB="0" distL="0" distR="0" wp14:anchorId="04D91EC2" wp14:editId="65C22DB6">
                  <wp:extent cx="1143000" cy="1143000"/>
                  <wp:effectExtent l="0" t="0" r="0" b="0"/>
                  <wp:docPr id="6" name="Рисунок 6" descr="ATV-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V-16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ATV-16A</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ATV-16B</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ATV-16C</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6-VHF </w:t>
            </w:r>
            <w:proofErr w:type="spellStart"/>
            <w:r w:rsidRPr="0035518E">
              <w:rPr>
                <w:rFonts w:eastAsia="Times New Roman" w:cstheme="minorHAnsi"/>
                <w:color w:val="000000"/>
                <w:lang w:eastAsia="ru-RU"/>
              </w:rPr>
              <w:t>Antenna</w:t>
            </w:r>
            <w:proofErr w:type="spellEnd"/>
            <w:r w:rsidRPr="0035518E">
              <w:rPr>
                <w:rFonts w:eastAsia="Times New Roman" w:cstheme="minorHAnsi"/>
                <w:color w:val="000000"/>
                <w:lang w:eastAsia="ru-RU"/>
              </w:rPr>
              <w:t xml:space="preserve"> (136-150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proofErr w:type="spellStart"/>
            <w:r w:rsidRPr="0035518E">
              <w:rPr>
                <w:rFonts w:eastAsia="Times New Roman" w:cstheme="minorHAnsi"/>
                <w:color w:val="000000"/>
                <w:lang w:eastAsia="ru-RU"/>
              </w:rPr>
              <w:t>Alkaline</w:t>
            </w:r>
            <w:proofErr w:type="spellEnd"/>
            <w:r w:rsidRPr="0035518E">
              <w:rPr>
                <w:rFonts w:eastAsia="Times New Roman" w:cstheme="minorHAnsi"/>
                <w:color w:val="000000"/>
                <w:lang w:eastAsia="ru-RU"/>
              </w:rPr>
              <w:t xml:space="preserve"> VHF </w:t>
            </w:r>
            <w:proofErr w:type="spellStart"/>
            <w:r w:rsidRPr="0035518E">
              <w:rPr>
                <w:rFonts w:eastAsia="Times New Roman" w:cstheme="minorHAnsi"/>
                <w:color w:val="000000"/>
                <w:lang w:eastAsia="ru-RU"/>
              </w:rPr>
              <w:t>Antenna</w:t>
            </w:r>
            <w:proofErr w:type="spellEnd"/>
            <w:r w:rsidRPr="0035518E">
              <w:rPr>
                <w:rFonts w:eastAsia="Times New Roman" w:cstheme="minorHAnsi"/>
                <w:color w:val="000000"/>
                <w:lang w:eastAsia="ru-RU"/>
              </w:rPr>
              <w:t xml:space="preserve"> (150-162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VHF </w:t>
            </w:r>
            <w:proofErr w:type="spellStart"/>
            <w:r w:rsidRPr="0035518E">
              <w:rPr>
                <w:rFonts w:eastAsia="Times New Roman" w:cstheme="minorHAnsi"/>
                <w:color w:val="000000"/>
                <w:lang w:eastAsia="ru-RU"/>
              </w:rPr>
              <w:t>Antenna</w:t>
            </w:r>
            <w:proofErr w:type="spellEnd"/>
            <w:r w:rsidRPr="0035518E">
              <w:rPr>
                <w:rFonts w:eastAsia="Times New Roman" w:cstheme="minorHAnsi"/>
                <w:color w:val="000000"/>
                <w:lang w:eastAsia="ru-RU"/>
              </w:rPr>
              <w:t xml:space="preserve"> (162-174 </w:t>
            </w:r>
            <w:proofErr w:type="spellStart"/>
            <w:r w:rsidRPr="0035518E">
              <w:rPr>
                <w:rFonts w:eastAsia="Times New Roman" w:cstheme="minorHAnsi"/>
                <w:color w:val="000000"/>
                <w:lang w:eastAsia="ru-RU"/>
              </w:rPr>
              <w:t>MHz</w:t>
            </w:r>
            <w:proofErr w:type="spellEnd"/>
            <w:r w:rsidRPr="0035518E">
              <w:rPr>
                <w:rFonts w:eastAsia="Times New Roman" w:cstheme="minorHAnsi"/>
                <w:color w:val="000000"/>
                <w:lang w:eastAsia="ru-RU"/>
              </w:rPr>
              <w:t>)</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187DBA0B" wp14:editId="2B6A4C2B">
                  <wp:extent cx="1143000" cy="1143000"/>
                  <wp:effectExtent l="0" t="0" r="0" b="0"/>
                  <wp:docPr id="7" name="Рисунок 7" descr="ATV-16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V-16X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2A56E900" wp14:editId="2C2EDEE4">
                  <wp:extent cx="1143000" cy="1143000"/>
                  <wp:effectExtent l="0" t="0" r="0" b="0"/>
                  <wp:docPr id="8" name="Рисунок 8" descr="FNB-V112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B-V112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633576E5" wp14:editId="797B1AA2">
                  <wp:extent cx="1143000" cy="1143000"/>
                  <wp:effectExtent l="0" t="0" r="0" b="0"/>
                  <wp:docPr id="9" name="Рисунок 9" descr="FNB-V113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NB-V113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ATV-16XL</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FNB-V112LI</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FNB-V113LI</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VHF антенна ненастроенная</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7,4 В, 1170 </w:t>
            </w:r>
            <w:proofErr w:type="spellStart"/>
            <w:r w:rsidRPr="0035518E">
              <w:rPr>
                <w:rFonts w:eastAsia="Times New Roman" w:cstheme="minorHAnsi"/>
                <w:color w:val="000000"/>
                <w:lang w:eastAsia="ru-RU"/>
              </w:rPr>
              <w:t>мАч</w:t>
            </w:r>
            <w:proofErr w:type="spellEnd"/>
            <w:r w:rsidRPr="0035518E">
              <w:rPr>
                <w:rFonts w:eastAsia="Times New Roman" w:cstheme="minorHAnsi"/>
                <w:color w:val="000000"/>
                <w:lang w:eastAsia="ru-RU"/>
              </w:rPr>
              <w:t xml:space="preserve"> литий-ионная аккумуляторная батарея</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xml:space="preserve">7,4 В, 2400 </w:t>
            </w:r>
            <w:proofErr w:type="spellStart"/>
            <w:r w:rsidRPr="0035518E">
              <w:rPr>
                <w:rFonts w:eastAsia="Times New Roman" w:cstheme="minorHAnsi"/>
                <w:color w:val="000000"/>
                <w:lang w:eastAsia="ru-RU"/>
              </w:rPr>
              <w:t>мАч</w:t>
            </w:r>
            <w:proofErr w:type="spellEnd"/>
            <w:r w:rsidRPr="0035518E">
              <w:rPr>
                <w:rFonts w:eastAsia="Times New Roman" w:cstheme="minorHAnsi"/>
                <w:color w:val="000000"/>
                <w:lang w:eastAsia="ru-RU"/>
              </w:rPr>
              <w:t xml:space="preserve"> литий-ионная аккумуляторная батарея</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151F1D7D" wp14:editId="5BD29139">
                  <wp:extent cx="1143000" cy="1143000"/>
                  <wp:effectExtent l="0" t="0" r="0" b="0"/>
                  <wp:docPr id="10" name="Рисунок 10" descr="VAC-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C-64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65BB0645" wp14:editId="4C5BDA89">
                  <wp:extent cx="1143000" cy="1143000"/>
                  <wp:effectExtent l="0" t="0" r="0" b="0"/>
                  <wp:docPr id="11" name="Рисунок 11" descr="V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C-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52EC784E" wp14:editId="7BCA1760">
                  <wp:extent cx="1143000" cy="1143000"/>
                  <wp:effectExtent l="0" t="0" r="0" b="0"/>
                  <wp:docPr id="12" name="Рисунок 12" descr="VH-11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H-110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VAC-6450</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VC-25</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VH-110S</w:t>
            </w:r>
          </w:p>
        </w:tc>
      </w:tr>
      <w:tr w:rsidR="0035518E" w:rsidRPr="0035518E" w:rsidTr="0035518E">
        <w:trPr>
          <w:gridBefore w:val="1"/>
          <w:gridAfter w:val="1"/>
          <w:wBefore w:w="163" w:type="pct"/>
          <w:wAfter w:w="152"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val="en-US" w:eastAsia="ru-RU"/>
              </w:rPr>
            </w:pPr>
            <w:r w:rsidRPr="0035518E">
              <w:rPr>
                <w:rFonts w:eastAsia="Times New Roman" w:cstheme="minorHAnsi"/>
                <w:color w:val="000000"/>
                <w:lang w:val="en-US" w:eastAsia="ru-RU"/>
              </w:rPr>
              <w:t>VAC-6450 6UNIT MULTI-CHARGER</w:t>
            </w:r>
            <w:r w:rsidRPr="0035518E">
              <w:rPr>
                <w:rFonts w:eastAsia="Times New Roman" w:cstheme="minorHAnsi"/>
                <w:color w:val="000000"/>
                <w:lang w:val="en-US" w:eastAsia="ru-RU"/>
              </w:rPr>
              <w:br/>
            </w:r>
            <w:r w:rsidRPr="0035518E">
              <w:rPr>
                <w:rFonts w:eastAsia="Times New Roman" w:cstheme="minorHAnsi"/>
                <w:color w:val="000000"/>
                <w:lang w:eastAsia="ru-RU"/>
              </w:rPr>
              <w:t>для</w:t>
            </w:r>
            <w:r w:rsidRPr="0035518E">
              <w:rPr>
                <w:rFonts w:eastAsia="Times New Roman" w:cstheme="minorHAnsi"/>
                <w:color w:val="000000"/>
                <w:lang w:val="en-US" w:eastAsia="ru-RU"/>
              </w:rPr>
              <w:t> VAC-800</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VOX HEADSET VX-110/150/160/180/210/450</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val="en-US" w:eastAsia="ru-RU"/>
              </w:rPr>
            </w:pPr>
            <w:r w:rsidRPr="0035518E">
              <w:rPr>
                <w:rFonts w:eastAsia="Times New Roman" w:cstheme="minorHAnsi"/>
                <w:color w:val="000000"/>
                <w:lang w:val="en-US" w:eastAsia="ru-RU"/>
              </w:rPr>
              <w:t>Heavy Duty, Dual Muff Over The Head Style With Boom Mic, Intrinsically Safe</w:t>
            </w: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54D0301C" wp14:editId="6031B7DA">
                  <wp:extent cx="1143000" cy="1143000"/>
                  <wp:effectExtent l="0" t="0" r="0" b="0"/>
                  <wp:docPr id="13" name="Рисунок 13" descr="VH-12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H-120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51D291F7" wp14:editId="0CE3B6D7">
                  <wp:extent cx="1143000" cy="1143000"/>
                  <wp:effectExtent l="0" t="0" r="0" b="0"/>
                  <wp:docPr id="14" name="Рисунок 14" descr="VH-1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H-130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16368ADF" wp14:editId="4746F4CE">
                  <wp:extent cx="1143000" cy="1143000"/>
                  <wp:effectExtent l="0" t="0" r="0" b="0"/>
                  <wp:docPr id="15" name="Рисунок 15" descr="PA-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45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2"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VH-120S</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VH-130S</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PA-45B</w:t>
            </w:r>
          </w:p>
        </w:tc>
        <w:tc>
          <w:tcPr>
            <w:tcW w:w="152"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lastRenderedPageBreak/>
              <w:t>3-проводные мини нагрудные микрофоны</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2-проводные мини нагрудные микрофоны</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AC адаптер</w:t>
            </w:r>
          </w:p>
        </w:tc>
        <w:tc>
          <w:tcPr>
            <w:tcW w:w="152"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457A5432" wp14:editId="1FF5E4D4">
                  <wp:extent cx="1143000" cy="1143000"/>
                  <wp:effectExtent l="0" t="0" r="0" b="0"/>
                  <wp:docPr id="16" name="Рисунок 16" descr="MH-36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360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00FCCB13" wp14:editId="559FCAA3">
                  <wp:extent cx="1143000" cy="1143000"/>
                  <wp:effectExtent l="0" t="0" r="0" b="0"/>
                  <wp:docPr id="17" name="Рисунок 17" descr="MH-37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37A4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7D074142" wp14:editId="5DC031A9">
                  <wp:extent cx="1143000" cy="1143000"/>
                  <wp:effectExtent l="0" t="0" r="0" b="0"/>
                  <wp:docPr id="18" name="Рисунок 18" descr="MH-45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450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2"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MH-360S</w:t>
            </w:r>
          </w:p>
        </w:tc>
        <w:tc>
          <w:tcPr>
            <w:tcW w:w="151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MH-37A4B</w:t>
            </w:r>
          </w:p>
        </w:tc>
        <w:tc>
          <w:tcPr>
            <w:tcW w:w="1728"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MH-450S</w:t>
            </w:r>
          </w:p>
        </w:tc>
        <w:tc>
          <w:tcPr>
            <w:tcW w:w="152"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Компактный микрофон Динамик для VX-210A, VX-160, VX-180 VX-450. Аналог MH-34D4B</w:t>
            </w:r>
          </w:p>
        </w:tc>
        <w:tc>
          <w:tcPr>
            <w:tcW w:w="151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Гарнитура микрофон, Легкий режим</w:t>
            </w:r>
          </w:p>
        </w:tc>
        <w:tc>
          <w:tcPr>
            <w:tcW w:w="1728"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средней грузоподъемности Спикер микрофон</w:t>
            </w:r>
          </w:p>
        </w:tc>
        <w:tc>
          <w:tcPr>
            <w:tcW w:w="152"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 </w:t>
            </w: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noProof/>
                <w:color w:val="000000"/>
                <w:lang w:eastAsia="ru-RU"/>
              </w:rPr>
              <w:drawing>
                <wp:inline distT="0" distB="0" distL="0" distR="0" wp14:anchorId="1A5F8B5F" wp14:editId="4BF506F5">
                  <wp:extent cx="1143000" cy="1143000"/>
                  <wp:effectExtent l="0" t="0" r="0" b="0"/>
                  <wp:docPr id="19" name="Рисунок 19" descr="MH-45B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45B4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14" w:type="pct"/>
            <w:vAlign w:val="center"/>
            <w:hideMark/>
          </w:tcPr>
          <w:p w:rsidR="0035518E" w:rsidRPr="0035518E" w:rsidRDefault="0035518E" w:rsidP="0035518E">
            <w:pPr>
              <w:spacing w:after="0" w:line="240" w:lineRule="auto"/>
              <w:rPr>
                <w:rFonts w:eastAsia="Times New Roman" w:cstheme="minorHAnsi"/>
                <w:lang w:eastAsia="ru-RU"/>
              </w:rPr>
            </w:pPr>
          </w:p>
        </w:tc>
        <w:tc>
          <w:tcPr>
            <w:tcW w:w="1728" w:type="pct"/>
            <w:vAlign w:val="center"/>
            <w:hideMark/>
          </w:tcPr>
          <w:p w:rsidR="0035518E" w:rsidRPr="0035518E" w:rsidRDefault="0035518E" w:rsidP="0035518E">
            <w:pPr>
              <w:spacing w:after="0" w:line="240" w:lineRule="auto"/>
              <w:rPr>
                <w:rFonts w:eastAsia="Times New Roman" w:cstheme="minorHAnsi"/>
                <w:lang w:eastAsia="ru-RU"/>
              </w:rPr>
            </w:pPr>
          </w:p>
        </w:tc>
        <w:tc>
          <w:tcPr>
            <w:tcW w:w="152" w:type="pct"/>
            <w:vAlign w:val="center"/>
            <w:hideMark/>
          </w:tcPr>
          <w:p w:rsidR="0035518E" w:rsidRPr="0035518E" w:rsidRDefault="0035518E" w:rsidP="0035518E">
            <w:pPr>
              <w:spacing w:after="0" w:line="240" w:lineRule="auto"/>
              <w:rPr>
                <w:rFonts w:eastAsia="Times New Roman" w:cstheme="minorHAnsi"/>
                <w:lang w:eastAsia="ru-RU"/>
              </w:rPr>
            </w:pPr>
          </w:p>
        </w:tc>
      </w:tr>
      <w:tr w:rsidR="0035518E" w:rsidRPr="0035518E" w:rsidTr="0035518E">
        <w:trPr>
          <w:gridBefore w:val="1"/>
          <w:wBefore w:w="163" w:type="pct"/>
          <w:tblCellSpacing w:w="15" w:type="dxa"/>
        </w:trPr>
        <w:tc>
          <w:tcPr>
            <w:tcW w:w="1364" w:type="pct"/>
            <w:tcBorders>
              <w:top w:val="nil"/>
              <w:left w:val="nil"/>
              <w:bottom w:val="nil"/>
              <w:right w:val="nil"/>
            </w:tcBorders>
            <w:vAlign w:val="center"/>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b/>
                <w:bCs/>
                <w:color w:val="000000"/>
                <w:lang w:eastAsia="ru-RU"/>
              </w:rPr>
              <w:t>MH-45B4B</w:t>
            </w:r>
          </w:p>
        </w:tc>
        <w:tc>
          <w:tcPr>
            <w:tcW w:w="1514" w:type="pct"/>
            <w:vAlign w:val="center"/>
            <w:hideMark/>
          </w:tcPr>
          <w:p w:rsidR="0035518E" w:rsidRPr="0035518E" w:rsidRDefault="0035518E" w:rsidP="0035518E">
            <w:pPr>
              <w:spacing w:after="0" w:line="240" w:lineRule="auto"/>
              <w:rPr>
                <w:rFonts w:eastAsia="Times New Roman" w:cstheme="minorHAnsi"/>
                <w:lang w:eastAsia="ru-RU"/>
              </w:rPr>
            </w:pPr>
          </w:p>
        </w:tc>
        <w:tc>
          <w:tcPr>
            <w:tcW w:w="1728" w:type="pct"/>
            <w:vAlign w:val="center"/>
            <w:hideMark/>
          </w:tcPr>
          <w:p w:rsidR="0035518E" w:rsidRPr="0035518E" w:rsidRDefault="0035518E" w:rsidP="0035518E">
            <w:pPr>
              <w:spacing w:after="0" w:line="240" w:lineRule="auto"/>
              <w:rPr>
                <w:rFonts w:eastAsia="Times New Roman" w:cstheme="minorHAnsi"/>
                <w:lang w:eastAsia="ru-RU"/>
              </w:rPr>
            </w:pPr>
          </w:p>
        </w:tc>
        <w:tc>
          <w:tcPr>
            <w:tcW w:w="152" w:type="pct"/>
            <w:vAlign w:val="center"/>
            <w:hideMark/>
          </w:tcPr>
          <w:p w:rsidR="0035518E" w:rsidRPr="0035518E" w:rsidRDefault="0035518E" w:rsidP="0035518E">
            <w:pPr>
              <w:spacing w:after="0" w:line="240" w:lineRule="auto"/>
              <w:rPr>
                <w:rFonts w:eastAsia="Times New Roman" w:cstheme="minorHAnsi"/>
                <w:lang w:eastAsia="ru-RU"/>
              </w:rPr>
            </w:pPr>
          </w:p>
        </w:tc>
      </w:tr>
      <w:tr w:rsidR="0035518E" w:rsidRPr="0035518E" w:rsidTr="0035518E">
        <w:trPr>
          <w:gridBefore w:val="1"/>
          <w:wBefore w:w="163" w:type="pct"/>
          <w:tblCellSpacing w:w="15" w:type="dxa"/>
        </w:trPr>
        <w:tc>
          <w:tcPr>
            <w:tcW w:w="1364" w:type="pct"/>
            <w:tcBorders>
              <w:top w:val="nil"/>
              <w:left w:val="nil"/>
              <w:bottom w:val="nil"/>
              <w:right w:val="nil"/>
            </w:tcBorders>
            <w:hideMark/>
          </w:tcPr>
          <w:p w:rsidR="0035518E" w:rsidRPr="0035518E" w:rsidRDefault="0035518E" w:rsidP="0035518E">
            <w:pPr>
              <w:spacing w:after="0" w:line="240" w:lineRule="auto"/>
              <w:jc w:val="center"/>
              <w:rPr>
                <w:rFonts w:eastAsia="Times New Roman" w:cstheme="minorHAnsi"/>
                <w:color w:val="000000"/>
                <w:lang w:eastAsia="ru-RU"/>
              </w:rPr>
            </w:pPr>
            <w:r w:rsidRPr="0035518E">
              <w:rPr>
                <w:rFonts w:eastAsia="Times New Roman" w:cstheme="minorHAnsi"/>
                <w:color w:val="000000"/>
                <w:lang w:eastAsia="ru-RU"/>
              </w:rPr>
              <w:t>Спикер микрофон с шумоподавлением</w:t>
            </w:r>
          </w:p>
        </w:tc>
        <w:tc>
          <w:tcPr>
            <w:tcW w:w="1514" w:type="pct"/>
            <w:vAlign w:val="center"/>
            <w:hideMark/>
          </w:tcPr>
          <w:p w:rsidR="0035518E" w:rsidRPr="0035518E" w:rsidRDefault="0035518E" w:rsidP="0035518E">
            <w:pPr>
              <w:spacing w:after="0" w:line="240" w:lineRule="auto"/>
              <w:rPr>
                <w:rFonts w:eastAsia="Times New Roman" w:cstheme="minorHAnsi"/>
                <w:lang w:eastAsia="ru-RU"/>
              </w:rPr>
            </w:pPr>
          </w:p>
        </w:tc>
        <w:tc>
          <w:tcPr>
            <w:tcW w:w="1728" w:type="pct"/>
            <w:vAlign w:val="center"/>
            <w:hideMark/>
          </w:tcPr>
          <w:p w:rsidR="0035518E" w:rsidRPr="0035518E" w:rsidRDefault="0035518E" w:rsidP="0035518E">
            <w:pPr>
              <w:spacing w:after="0" w:line="240" w:lineRule="auto"/>
              <w:rPr>
                <w:rFonts w:eastAsia="Times New Roman" w:cstheme="minorHAnsi"/>
                <w:lang w:eastAsia="ru-RU"/>
              </w:rPr>
            </w:pPr>
          </w:p>
        </w:tc>
        <w:tc>
          <w:tcPr>
            <w:tcW w:w="152" w:type="pct"/>
            <w:vAlign w:val="center"/>
            <w:hideMark/>
          </w:tcPr>
          <w:p w:rsidR="0035518E" w:rsidRPr="0035518E" w:rsidRDefault="0035518E" w:rsidP="0035518E">
            <w:pPr>
              <w:spacing w:after="0" w:line="240" w:lineRule="auto"/>
              <w:rPr>
                <w:rFonts w:eastAsia="Times New Roman" w:cstheme="minorHAnsi"/>
                <w:lang w:eastAsia="ru-RU"/>
              </w:rPr>
            </w:pPr>
          </w:p>
        </w:tc>
      </w:tr>
    </w:tbl>
    <w:p w:rsidR="00DE2DA9" w:rsidRPr="0035518E" w:rsidRDefault="00DE2DA9">
      <w:pPr>
        <w:rPr>
          <w:rFonts w:cstheme="minorHAnsi"/>
        </w:rPr>
      </w:pPr>
    </w:p>
    <w:sectPr w:rsidR="00DE2DA9" w:rsidRPr="00355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8E"/>
    <w:rsid w:val="0035518E"/>
    <w:rsid w:val="00DE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4E7AC-3786-49BF-A2C6-F94CAAB8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89554">
      <w:bodyDiv w:val="1"/>
      <w:marLeft w:val="0"/>
      <w:marRight w:val="0"/>
      <w:marTop w:val="0"/>
      <w:marBottom w:val="0"/>
      <w:divBdr>
        <w:top w:val="none" w:sz="0" w:space="0" w:color="auto"/>
        <w:left w:val="none" w:sz="0" w:space="0" w:color="auto"/>
        <w:bottom w:val="none" w:sz="0" w:space="0" w:color="auto"/>
        <w:right w:val="none" w:sz="0" w:space="0" w:color="auto"/>
      </w:divBdr>
      <w:divsChild>
        <w:div w:id="33962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Marchenko</dc:creator>
  <cp:keywords/>
  <dc:description/>
  <cp:lastModifiedBy>Roman Marchenko</cp:lastModifiedBy>
  <cp:revision>1</cp:revision>
  <dcterms:created xsi:type="dcterms:W3CDTF">2018-07-27T12:23:00Z</dcterms:created>
  <dcterms:modified xsi:type="dcterms:W3CDTF">2018-07-27T12:30:00Z</dcterms:modified>
</cp:coreProperties>
</file>